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3219450</wp:posOffset>
            </wp:positionH>
            <wp:positionV relativeFrom="paragraph">
              <wp:posOffset>114300</wp:posOffset>
            </wp:positionV>
            <wp:extent cx="3546729" cy="2038350"/>
            <wp:effectExtent b="0" l="0" r="0" t="0"/>
            <wp:wrapSquare wrapText="bothSides" distB="114300" distT="114300" distL="114300" distR="11430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8474" l="0" r="0" t="6779"/>
                    <a:stretch>
                      <a:fillRect/>
                    </a:stretch>
                  </pic:blipFill>
                  <pic:spPr>
                    <a:xfrm>
                      <a:off x="0" y="0"/>
                      <a:ext cx="3546729" cy="2038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-171449</wp:posOffset>
            </wp:positionH>
            <wp:positionV relativeFrom="paragraph">
              <wp:posOffset>114300</wp:posOffset>
            </wp:positionV>
            <wp:extent cx="3390900" cy="2038350"/>
            <wp:effectExtent b="0" l="0" r="0" t="0"/>
            <wp:wrapSquare wrapText="bothSides" distB="114300" distT="114300" distL="114300" distR="11430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038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Vampire Squid</w:t>
        <w:tab/>
        <w:tab/>
        <w:tab/>
        <w:tab/>
        <w:tab/>
        <w:tab/>
        <w:t xml:space="preserve">Big Red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-171449</wp:posOffset>
            </wp:positionH>
            <wp:positionV relativeFrom="paragraph">
              <wp:posOffset>327025</wp:posOffset>
            </wp:positionV>
            <wp:extent cx="3810000" cy="2247900"/>
            <wp:effectExtent b="0" l="0" r="0" t="0"/>
            <wp:wrapSquare wrapText="bothSides" distB="114300" distT="114300" distL="114300" distR="11430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4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3219450</wp:posOffset>
            </wp:positionH>
            <wp:positionV relativeFrom="paragraph">
              <wp:posOffset>471488</wp:posOffset>
            </wp:positionV>
            <wp:extent cx="3810000" cy="1952625"/>
            <wp:effectExtent b="0" l="0" r="0" t="0"/>
            <wp:wrapSquare wrapText="bothSides" distB="114300" distT="114300" distL="114300" distR="11430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12194" l="0" r="0" t="1205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52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-171449</wp:posOffset>
            </wp:positionH>
            <wp:positionV relativeFrom="paragraph">
              <wp:posOffset>2828925</wp:posOffset>
            </wp:positionV>
            <wp:extent cx="3390900" cy="2310996"/>
            <wp:effectExtent b="0" l="0" r="0" t="0"/>
            <wp:wrapSquare wrapText="bothSides" distB="114300" distT="114300" distL="114300" distR="114300"/>
            <wp:docPr descr="Representative image using: Macropinna microstoma" id="3" name="image9.png"/>
            <a:graphic>
              <a:graphicData uri="http://schemas.openxmlformats.org/drawingml/2006/picture">
                <pic:pic>
                  <pic:nvPicPr>
                    <pic:cNvPr descr="Representative image using: Macropinna microstoma"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109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Little Red Jelly</w:t>
        <w:tab/>
        <w:tab/>
        <w:tab/>
        <w:tab/>
        <w:tab/>
        <w:tab/>
        <w:t xml:space="preserve">Carnivorous Sponge</w:t>
      </w:r>
    </w:p>
    <w:p w:rsidR="00000000" w:rsidDel="00000000" w:rsidP="00000000" w:rsidRDefault="00000000" w:rsidRPr="00000000" w14:paraId="00000005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3219450</wp:posOffset>
            </wp:positionH>
            <wp:positionV relativeFrom="paragraph">
              <wp:posOffset>142875</wp:posOffset>
            </wp:positionV>
            <wp:extent cx="3810000" cy="2578100"/>
            <wp:effectExtent b="0" l="0" r="0" t="0"/>
            <wp:wrapSquare wrapText="bothSides" distB="114300" distT="114300" distL="114300" distR="11430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7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ind w:left="720" w:firstLine="0"/>
        <w:contextualSpacing w:val="0"/>
        <w:rPr/>
      </w:pPr>
      <w:r w:rsidDel="00000000" w:rsidR="00000000" w:rsidRPr="00000000">
        <w:rPr>
          <w:rtl w:val="0"/>
        </w:rPr>
        <w:t xml:space="preserve">Spookfish</w:t>
        <w:tab/>
        <w:tab/>
        <w:tab/>
        <w:tab/>
        <w:tab/>
        <w:tab/>
        <w:t xml:space="preserve">Bone Eating Worm</w:t>
        <w:tab/>
        <w:tab/>
        <w:tab/>
        <w:tab/>
      </w:r>
    </w:p>
    <w:p w:rsidR="00000000" w:rsidDel="00000000" w:rsidP="00000000" w:rsidRDefault="00000000" w:rsidRPr="00000000" w14:paraId="00000007">
      <w:pPr>
        <w:ind w:left="0" w:firstLine="0"/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contextualSpacing w:val="0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Teacher Reference Page</w:t>
      </w:r>
    </w:p>
    <w:tbl>
      <w:tblPr>
        <w:tblStyle w:val="Table1"/>
        <w:tblW w:w="10786.173096976017" w:type="dxa"/>
        <w:jc w:val="left"/>
        <w:tblInd w:w="4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905"/>
        <w:gridCol w:w="2115"/>
        <w:gridCol w:w="1126.1730969760167"/>
        <w:gridCol w:w="2415"/>
        <w:gridCol w:w="3225"/>
        <w:tblGridChange w:id="0">
          <w:tblGrid>
            <w:gridCol w:w="1905"/>
            <w:gridCol w:w="2115"/>
            <w:gridCol w:w="1126.1730969760167"/>
            <w:gridCol w:w="2415"/>
            <w:gridCol w:w="3225"/>
          </w:tblGrid>
        </w:tblGridChange>
      </w:tblGrid>
      <w:tr>
        <w:trPr>
          <w:trHeight w:val="300" w:hRule="atLeast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Common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Scientific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Depth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Weblink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Data link (data products)</w:t>
            </w:r>
          </w:p>
        </w:tc>
      </w:tr>
      <w:tr>
        <w:trPr>
          <w:trHeight w:val="300" w:hRule="atLeast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Vampire Squid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Vampyroteuthis infernalis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600-800m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widowControl w:val="0"/>
              <w:contextualSpacing w:val="0"/>
              <w:rPr>
                <w:sz w:val="20"/>
                <w:szCs w:val="20"/>
              </w:rPr>
            </w:pPr>
            <w:hyperlink r:id="rId12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http://dsg.mbari.org/dsg/view/concept/Vampyroteuthis%20infernalis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contextualSpacing w:val="0"/>
              <w:rPr>
                <w:color w:val="1155cc"/>
                <w:sz w:val="20"/>
                <w:szCs w:val="20"/>
                <w:u w:val="single"/>
              </w:rPr>
            </w:pPr>
            <w:r w:rsidDel="00000000" w:rsidR="00000000" w:rsidRPr="00000000">
              <w:fldChar w:fldCharType="begin"/>
              <w:instrText xml:space="preserve"> HYPERLINK "http://dsg.mbari.org/dsg/plots/concept/Vampyroteuthis%20infernalis/Global" </w:instrText>
              <w:fldChar w:fldCharType="separate"/>
            </w:r>
            <w:r w:rsidDel="00000000" w:rsidR="00000000" w:rsidRPr="00000000">
              <w:rPr>
                <w:color w:val="1155cc"/>
                <w:sz w:val="20"/>
                <w:szCs w:val="20"/>
                <w:u w:val="single"/>
                <w:rtl w:val="0"/>
              </w:rPr>
              <w:t xml:space="preserve">http://dsg.mbari.org/dsg/plots/concept/Vampyroteuthis%20infernalis/Global</w:t>
            </w:r>
          </w:p>
        </w:tc>
      </w:tr>
      <w:tr>
        <w:trPr>
          <w:trHeight w:val="300" w:hRule="atLeast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fldChar w:fldCharType="end"/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Spookfish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Macropinna microstoma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700-900m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widowControl w:val="0"/>
              <w:contextualSpacing w:val="0"/>
              <w:rPr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http://dsg.mbari.org/dsg/view/concept/Opisthoproctidae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widowControl w:val="0"/>
              <w:contextualSpacing w:val="0"/>
              <w:rPr>
                <w:color w:val="1155cc"/>
                <w:sz w:val="20"/>
                <w:szCs w:val="20"/>
                <w:u w:val="single"/>
              </w:rPr>
            </w:pPr>
            <w:r w:rsidDel="00000000" w:rsidR="00000000" w:rsidRPr="00000000">
              <w:fldChar w:fldCharType="begin"/>
              <w:instrText xml:space="preserve"> HYPERLINK "http://dsg.mbari.org/dsg/plots/concept/Opisthoproctidae/Greater%20Monterey%20Bay" </w:instrText>
              <w:fldChar w:fldCharType="separate"/>
            </w:r>
            <w:r w:rsidDel="00000000" w:rsidR="00000000" w:rsidRPr="00000000">
              <w:rPr>
                <w:color w:val="1155cc"/>
                <w:sz w:val="20"/>
                <w:szCs w:val="20"/>
                <w:u w:val="single"/>
                <w:rtl w:val="0"/>
              </w:rPr>
              <w:t xml:space="preserve">http://dsg.mbari.org/dsg/plots/concept/Opisthoproctidae/Greater%20Monterey%20Bay</w:t>
            </w:r>
          </w:p>
        </w:tc>
      </w:tr>
      <w:tr>
        <w:trPr>
          <w:trHeight w:val="300" w:hRule="atLeast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fldChar w:fldCharType="end"/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Big Red Jelly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Tiburnia granrojo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900-1000m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contextualSpacing w:val="0"/>
              <w:rPr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http://dsg.mbari.org/dsg/view/concept/Tiburonia%20granrojo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widowControl w:val="0"/>
              <w:contextualSpacing w:val="0"/>
              <w:rPr>
                <w:color w:val="1155cc"/>
                <w:sz w:val="20"/>
                <w:szCs w:val="20"/>
                <w:u w:val="single"/>
              </w:rPr>
            </w:pPr>
            <w:r w:rsidDel="00000000" w:rsidR="00000000" w:rsidRPr="00000000">
              <w:fldChar w:fldCharType="begin"/>
              <w:instrText xml:space="preserve"> HYPERLINK "http://dsg.mbari.org/dsg/plots/concept/Tiburonia%20granrojo/Greater%20Monterey%20Bay" </w:instrText>
              <w:fldChar w:fldCharType="separate"/>
            </w:r>
            <w:r w:rsidDel="00000000" w:rsidR="00000000" w:rsidRPr="00000000">
              <w:rPr>
                <w:color w:val="1155cc"/>
                <w:sz w:val="20"/>
                <w:szCs w:val="20"/>
                <w:u w:val="single"/>
                <w:rtl w:val="0"/>
              </w:rPr>
              <w:t xml:space="preserve">http://dsg.mbari.org/dsg/plots/concept/Tiburonia%20granrojo/Greater%20Monterey%20Bay</w:t>
            </w:r>
          </w:p>
        </w:tc>
      </w:tr>
      <w:tr>
        <w:trPr>
          <w:trHeight w:val="300" w:hRule="atLeast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fldChar w:fldCharType="end"/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bone eating worm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Osedax rubiplumus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1800-2000m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contextualSpacing w:val="0"/>
              <w:rPr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http://dsg.mbari.org/dsg/view/concept/Osedax%20rubiplumus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contextualSpacing w:val="0"/>
              <w:rPr>
                <w:color w:val="1155cc"/>
                <w:sz w:val="20"/>
                <w:szCs w:val="20"/>
                <w:u w:val="single"/>
              </w:rPr>
            </w:pPr>
            <w:r w:rsidDel="00000000" w:rsidR="00000000" w:rsidRPr="00000000">
              <w:fldChar w:fldCharType="begin"/>
              <w:instrText xml:space="preserve"> HYPERLINK "http://dsg.mbari.org/dsg/plots/concept/Osedax%20rubiplumus/Greater%20Monterey%20Bay" </w:instrText>
              <w:fldChar w:fldCharType="separate"/>
            </w:r>
            <w:r w:rsidDel="00000000" w:rsidR="00000000" w:rsidRPr="00000000">
              <w:rPr>
                <w:color w:val="1155cc"/>
                <w:sz w:val="20"/>
                <w:szCs w:val="20"/>
                <w:u w:val="single"/>
                <w:rtl w:val="0"/>
              </w:rPr>
              <w:t xml:space="preserve">http://dsg.mbari.org/dsg/plots/concept/Osedax%20rubiplumus/Greater%20Monterey%20Bay</w:t>
            </w:r>
          </w:p>
        </w:tc>
      </w:tr>
      <w:tr>
        <w:trPr>
          <w:trHeight w:val="300" w:hRule="atLeast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fldChar w:fldCharType="end"/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little red jellies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Benthocodon hiatus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2500-3000m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contextualSpacing w:val="0"/>
              <w:rPr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http://dsg.mbari.org/dsg/view/concept/Benthocodon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contextualSpacing w:val="0"/>
              <w:rPr>
                <w:color w:val="1155cc"/>
                <w:sz w:val="20"/>
                <w:szCs w:val="20"/>
                <w:u w:val="single"/>
              </w:rPr>
            </w:pPr>
            <w:r w:rsidDel="00000000" w:rsidR="00000000" w:rsidRPr="00000000">
              <w:fldChar w:fldCharType="begin"/>
              <w:instrText xml:space="preserve"> HYPERLINK "http://dsg.mbari.org/dsg/plots/concept/Benthocodon/Greater%20Monterey%20Bay" </w:instrText>
              <w:fldChar w:fldCharType="separate"/>
            </w:r>
            <w:r w:rsidDel="00000000" w:rsidR="00000000" w:rsidRPr="00000000">
              <w:rPr>
                <w:color w:val="1155cc"/>
                <w:sz w:val="20"/>
                <w:szCs w:val="20"/>
                <w:u w:val="single"/>
                <w:rtl w:val="0"/>
              </w:rPr>
              <w:t xml:space="preserve">http://dsg.mbari.org/dsg/plots/concept/Benthocodon/Greater%20Monterey%20Bay</w:t>
            </w:r>
          </w:p>
        </w:tc>
      </w:tr>
      <w:tr>
        <w:trPr>
          <w:trHeight w:val="300" w:hRule="atLeast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fldChar w:fldCharType="end"/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carnivorous sponge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Chondrocladia lyra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3300-4000m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contextualSpacing w:val="0"/>
              <w:rPr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http://dsg.mbari.org/dsg/view/concept/Chondrocladia%20lyra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contextualSpacing w:val="0"/>
              <w:rPr>
                <w:color w:val="1155cc"/>
                <w:sz w:val="20"/>
                <w:szCs w:val="20"/>
                <w:u w:val="single"/>
              </w:rPr>
            </w:pPr>
            <w:r w:rsidDel="00000000" w:rsidR="00000000" w:rsidRPr="00000000">
              <w:fldChar w:fldCharType="begin"/>
              <w:instrText xml:space="preserve"> HYPERLINK "http://dsg.mbari.org/dsg/plots/concept/Chondrocladia%20lyra/Greater%20Monterey%20Bay" </w:instrText>
              <w:fldChar w:fldCharType="separate"/>
            </w:r>
            <w:r w:rsidDel="00000000" w:rsidR="00000000" w:rsidRPr="00000000">
              <w:rPr>
                <w:color w:val="1155cc"/>
                <w:sz w:val="20"/>
                <w:szCs w:val="20"/>
                <w:u w:val="single"/>
                <w:rtl w:val="0"/>
              </w:rPr>
              <w:t xml:space="preserve">http://dsg.mbari.org/dsg/plots/concept/Chondrocladia%20lyra/Greater%20Monterey%20Bay</w:t>
            </w:r>
          </w:p>
        </w:tc>
      </w:tr>
    </w:tbl>
    <w:p w:rsidR="00000000" w:rsidDel="00000000" w:rsidP="00000000" w:rsidRDefault="00000000" w:rsidRPr="00000000" w14:paraId="0000002E">
      <w:pPr>
        <w:ind w:left="0" w:firstLine="0"/>
        <w:contextualSpacing w:val="0"/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after="120" w:before="240" w:line="240" w:lineRule="auto"/>
        <w:contextualSpacing w:val="0"/>
        <w:rPr>
          <w:rFonts w:ascii="Trebuchet MS" w:cs="Trebuchet MS" w:eastAsia="Trebuchet MS" w:hAnsi="Trebuchet MS"/>
          <w:b w:val="1"/>
          <w:i w:val="1"/>
          <w:color w:val="04549a"/>
          <w:sz w:val="45"/>
          <w:szCs w:val="4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Jacobsen Stout, N., L. Kuhnz, L. Lundsten, B. Schlining, K. Schlining, and S. von Thun (eds.). The Deep-Sea Guide (DSG). Monterey Bay Aquarium Research Institute (MBARI). Consulted on: 2018-06-28.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9.png"/><Relationship Id="rId13" Type="http://schemas.openxmlformats.org/officeDocument/2006/relationships/hyperlink" Target="http://dsg.mbari.org/dsg/view/concept/Opisthoproctidae" TargetMode="External"/><Relationship Id="rId12" Type="http://schemas.openxmlformats.org/officeDocument/2006/relationships/hyperlink" Target="http://dsg.mbari.org/dsg/view/concept/Vampyroteuthis%20infernali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hyperlink" Target="http://dsg.mbari.org/dsg/view/concept/Osedax%20rubiplumus" TargetMode="External"/><Relationship Id="rId14" Type="http://schemas.openxmlformats.org/officeDocument/2006/relationships/hyperlink" Target="http://dsg.mbari.org/dsg/view/concept/Tiburonia%20granrojo" TargetMode="External"/><Relationship Id="rId17" Type="http://schemas.openxmlformats.org/officeDocument/2006/relationships/hyperlink" Target="http://dsg.mbari.org/dsg/view/concept/Chondrocladia%20lyra" TargetMode="External"/><Relationship Id="rId16" Type="http://schemas.openxmlformats.org/officeDocument/2006/relationships/hyperlink" Target="http://dsg.mbari.org/dsg/view/concept/Benthocodon" TargetMode="External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10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